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4119" w14:textId="77777777" w:rsidR="00E318AC" w:rsidRPr="0097414B" w:rsidRDefault="00E318AC" w:rsidP="0097414B">
      <w:pPr>
        <w:autoSpaceDE w:val="0"/>
        <w:autoSpaceDN w:val="0"/>
        <w:adjustRightInd w:val="0"/>
        <w:jc w:val="center"/>
        <w:rPr>
          <w:rFonts w:ascii="GreatVibes-Regular" w:hAnsi="GreatVibes-Regular" w:cs="GreatVibes-Regular"/>
          <w:color w:val="1A1718"/>
          <w:sz w:val="72"/>
          <w:szCs w:val="72"/>
        </w:rPr>
      </w:pPr>
      <w:r w:rsidRPr="0097414B">
        <w:rPr>
          <w:rFonts w:ascii="GreatVibes-Regular" w:hAnsi="GreatVibes-Regular" w:cs="GreatVibes-Regular"/>
          <w:color w:val="1A1718"/>
          <w:sz w:val="72"/>
          <w:szCs w:val="72"/>
        </w:rPr>
        <w:t>Our Rules and Regulations</w:t>
      </w:r>
    </w:p>
    <w:p w14:paraId="1B892344" w14:textId="77777777" w:rsidR="00E318AC" w:rsidRDefault="00E318AC" w:rsidP="00E318AC">
      <w:pPr>
        <w:autoSpaceDE w:val="0"/>
        <w:autoSpaceDN w:val="0"/>
        <w:adjustRightInd w:val="0"/>
        <w:jc w:val="center"/>
        <w:rPr>
          <w:rFonts w:ascii="NotoSans" w:hAnsi="NotoSans" w:cs="NotoSans"/>
          <w:color w:val="1A1718"/>
          <w:sz w:val="36"/>
          <w:szCs w:val="36"/>
        </w:rPr>
      </w:pPr>
      <w:r>
        <w:rPr>
          <w:rFonts w:ascii="NotoSans-Bold" w:hAnsi="NotoSans-Bold" w:cs="NotoSans-Bold"/>
          <w:b/>
          <w:bCs/>
          <w:color w:val="1A1718"/>
          <w:sz w:val="40"/>
          <w:szCs w:val="40"/>
        </w:rPr>
        <w:t>Event Center Rental Agreement-Exhibit A</w:t>
      </w:r>
    </w:p>
    <w:p w14:paraId="771AB09B" w14:textId="0CEAA7D1" w:rsidR="00E318AC" w:rsidRDefault="00E318AC" w:rsidP="00E318AC">
      <w:pPr>
        <w:autoSpaceDE w:val="0"/>
        <w:autoSpaceDN w:val="0"/>
        <w:adjustRightInd w:val="0"/>
        <w:jc w:val="center"/>
        <w:rPr>
          <w:rFonts w:ascii="NotoSans" w:hAnsi="NotoSans" w:cs="NotoSans"/>
          <w:color w:val="1A1718"/>
          <w:sz w:val="36"/>
          <w:szCs w:val="36"/>
        </w:rPr>
      </w:pPr>
      <w:r w:rsidRPr="0097414B">
        <w:rPr>
          <w:rFonts w:ascii="NotoSans-Bold" w:hAnsi="NotoSans-Bold" w:cs="NotoSans-Bold"/>
          <w:b/>
          <w:bCs/>
          <w:color w:val="BF8F00" w:themeColor="accent4" w:themeShade="BF"/>
          <w:sz w:val="40"/>
          <w:szCs w:val="40"/>
        </w:rPr>
        <w:t xml:space="preserve">The </w:t>
      </w:r>
      <w:r w:rsidR="0097414B" w:rsidRPr="0097414B">
        <w:rPr>
          <w:rFonts w:ascii="NotoSans-Bold" w:hAnsi="NotoSans-Bold" w:cs="NotoSans-Bold"/>
          <w:b/>
          <w:bCs/>
          <w:color w:val="BF8F00" w:themeColor="accent4" w:themeShade="BF"/>
          <w:sz w:val="40"/>
          <w:szCs w:val="40"/>
        </w:rPr>
        <w:t>Gathering Place</w:t>
      </w:r>
      <w:r w:rsidRPr="0097414B">
        <w:rPr>
          <w:rFonts w:ascii="NotoSans-Bold" w:hAnsi="NotoSans-Bold" w:cs="NotoSans-Bold"/>
          <w:b/>
          <w:bCs/>
          <w:color w:val="BF8F00" w:themeColor="accent4" w:themeShade="BF"/>
          <w:sz w:val="40"/>
          <w:szCs w:val="40"/>
        </w:rPr>
        <w:t xml:space="preserve"> </w:t>
      </w:r>
      <w:r>
        <w:rPr>
          <w:rFonts w:ascii="NotoSans-Bold" w:hAnsi="NotoSans-Bold" w:cs="NotoSans-Bold"/>
          <w:b/>
          <w:bCs/>
          <w:color w:val="1A1718"/>
          <w:sz w:val="40"/>
          <w:szCs w:val="40"/>
        </w:rPr>
        <w:t>Event Center Usage Rules</w:t>
      </w:r>
    </w:p>
    <w:p w14:paraId="55F62065" w14:textId="77777777" w:rsidR="00E318AC" w:rsidRDefault="00E318AC" w:rsidP="00E318AC">
      <w:pPr>
        <w:autoSpaceDE w:val="0"/>
        <w:autoSpaceDN w:val="0"/>
        <w:adjustRightInd w:val="0"/>
        <w:jc w:val="center"/>
        <w:rPr>
          <w:rFonts w:ascii="NotoSans" w:hAnsi="NotoSans" w:cs="NotoSans"/>
          <w:color w:val="1A1718"/>
          <w:sz w:val="36"/>
          <w:szCs w:val="36"/>
        </w:rPr>
      </w:pPr>
    </w:p>
    <w:p w14:paraId="5E45A6B8" w14:textId="77777777" w:rsidR="00E318AC" w:rsidRDefault="00E318AC" w:rsidP="00E318AC">
      <w:pPr>
        <w:autoSpaceDE w:val="0"/>
        <w:autoSpaceDN w:val="0"/>
        <w:adjustRightInd w:val="0"/>
        <w:jc w:val="center"/>
        <w:rPr>
          <w:rFonts w:ascii="NotoSans" w:hAnsi="NotoSans" w:cs="NotoSans"/>
          <w:color w:val="1A1718"/>
          <w:sz w:val="36"/>
          <w:szCs w:val="36"/>
        </w:rPr>
      </w:pPr>
      <w:r>
        <w:rPr>
          <w:rFonts w:ascii="NotoSans-Bold" w:hAnsi="NotoSans-Bold" w:cs="NotoSans-Bold"/>
          <w:b/>
          <w:bCs/>
          <w:color w:val="1A1718"/>
          <w:sz w:val="36"/>
          <w:szCs w:val="36"/>
        </w:rPr>
        <w:t>The following are usage rules that must be followed by Clients, Clients guests, and Vendors. Non-adherence to these rules will lead to fines and/or damages. Fees are listed in the Miscellaneous Fee section of the Special Events and Wedding Venue Contract.</w:t>
      </w:r>
    </w:p>
    <w:p w14:paraId="3119CD7E" w14:textId="77777777" w:rsidR="00E318AC" w:rsidRDefault="00E318AC" w:rsidP="00E318AC">
      <w:pPr>
        <w:autoSpaceDE w:val="0"/>
        <w:autoSpaceDN w:val="0"/>
        <w:adjustRightInd w:val="0"/>
        <w:jc w:val="center"/>
        <w:rPr>
          <w:rFonts w:ascii="NotoSans-Bold" w:hAnsi="NotoSans-Bold" w:cs="NotoSans-Bold"/>
          <w:b/>
          <w:bCs/>
          <w:color w:val="1A1718"/>
          <w:sz w:val="36"/>
          <w:szCs w:val="36"/>
        </w:rPr>
      </w:pPr>
    </w:p>
    <w:p w14:paraId="45ED1CC9" w14:textId="77777777" w:rsidR="00E318AC" w:rsidRDefault="00E318AC"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1.) MOVING EVENT CENTER DÉCOR</w:t>
      </w:r>
    </w:p>
    <w:p w14:paraId="347625D5" w14:textId="39408438" w:rsidR="00E318AC" w:rsidRDefault="00E318AC" w:rsidP="00E318AC">
      <w:pPr>
        <w:autoSpaceDE w:val="0"/>
        <w:autoSpaceDN w:val="0"/>
        <w:adjustRightInd w:val="0"/>
        <w:jc w:val="center"/>
        <w:rPr>
          <w:rFonts w:ascii="NotoSans" w:hAnsi="NotoSans" w:cs="NotoSans"/>
          <w:color w:val="1A1718"/>
          <w:sz w:val="36"/>
          <w:szCs w:val="36"/>
        </w:rPr>
      </w:pPr>
      <w:r>
        <w:rPr>
          <w:rFonts w:ascii="NotoSans" w:hAnsi="NotoSans" w:cs="NotoSans"/>
          <w:color w:val="1A1718"/>
          <w:sz w:val="36"/>
          <w:szCs w:val="36"/>
        </w:rPr>
        <w:t xml:space="preserve">The Event Center décor will be positioned by the </w:t>
      </w:r>
      <w:r w:rsidR="0097414B">
        <w:rPr>
          <w:rFonts w:ascii="NotoSans" w:hAnsi="NotoSans" w:cs="NotoSans"/>
          <w:color w:val="1A1718"/>
          <w:sz w:val="36"/>
          <w:szCs w:val="36"/>
        </w:rPr>
        <w:t>Gathering Place</w:t>
      </w:r>
      <w:r>
        <w:rPr>
          <w:rFonts w:ascii="NotoSans" w:hAnsi="NotoSans" w:cs="NotoSans"/>
          <w:color w:val="1A1718"/>
          <w:sz w:val="36"/>
          <w:szCs w:val="36"/>
        </w:rPr>
        <w:t xml:space="preserve"> staff members based on the final plan agreed to at the </w:t>
      </w:r>
      <w:r w:rsidR="0097414B">
        <w:rPr>
          <w:rFonts w:ascii="NotoSans" w:hAnsi="NotoSans" w:cs="NotoSans"/>
          <w:color w:val="1A1718"/>
          <w:sz w:val="36"/>
          <w:szCs w:val="36"/>
        </w:rPr>
        <w:t>closing</w:t>
      </w:r>
      <w:r>
        <w:rPr>
          <w:rFonts w:ascii="NotoSans" w:hAnsi="NotoSans" w:cs="NotoSans"/>
          <w:color w:val="1A1718"/>
          <w:sz w:val="36"/>
          <w:szCs w:val="36"/>
        </w:rPr>
        <w:t xml:space="preserve"> </w:t>
      </w:r>
      <w:r w:rsidR="0097414B">
        <w:rPr>
          <w:rFonts w:ascii="NotoSans" w:hAnsi="NotoSans" w:cs="NotoSans"/>
          <w:color w:val="1A1718"/>
          <w:sz w:val="36"/>
          <w:szCs w:val="36"/>
        </w:rPr>
        <w:t>m</w:t>
      </w:r>
      <w:r>
        <w:rPr>
          <w:rFonts w:ascii="NotoSans" w:hAnsi="NotoSans" w:cs="NotoSans"/>
          <w:color w:val="1A1718"/>
          <w:sz w:val="36"/>
          <w:szCs w:val="36"/>
        </w:rPr>
        <w:t xml:space="preserve">eeting. Should Client choose to make minor adjustments to the Event Center décor after placement, Client MUST receive consent from The </w:t>
      </w:r>
      <w:r w:rsidR="0097414B">
        <w:rPr>
          <w:rFonts w:ascii="NotoSans" w:hAnsi="NotoSans" w:cs="NotoSans"/>
          <w:color w:val="1A1718"/>
          <w:sz w:val="36"/>
          <w:szCs w:val="36"/>
        </w:rPr>
        <w:t>Gathering Place Staff</w:t>
      </w:r>
      <w:r>
        <w:rPr>
          <w:rFonts w:ascii="NotoSans" w:hAnsi="NotoSans" w:cs="NotoSans"/>
          <w:color w:val="1A1718"/>
          <w:sz w:val="36"/>
          <w:szCs w:val="36"/>
        </w:rPr>
        <w:t>.</w:t>
      </w:r>
    </w:p>
    <w:p w14:paraId="7D47DA1A" w14:textId="77777777" w:rsidR="00E318AC" w:rsidRDefault="00E318AC" w:rsidP="00E318AC">
      <w:pPr>
        <w:autoSpaceDE w:val="0"/>
        <w:autoSpaceDN w:val="0"/>
        <w:adjustRightInd w:val="0"/>
        <w:rPr>
          <w:rFonts w:ascii="NotoSans" w:hAnsi="NotoSans" w:cs="NotoSans"/>
          <w:color w:val="1A1718"/>
          <w:sz w:val="36"/>
          <w:szCs w:val="36"/>
        </w:rPr>
      </w:pPr>
    </w:p>
    <w:p w14:paraId="48870A76" w14:textId="0CA1422C" w:rsidR="00E318AC" w:rsidRDefault="0097414B"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2</w:t>
      </w:r>
      <w:r w:rsidR="00E318AC">
        <w:rPr>
          <w:rFonts w:ascii="NotoSans-Bold" w:hAnsi="NotoSans-Bold" w:cs="NotoSans-Bold"/>
          <w:b/>
          <w:bCs/>
          <w:color w:val="1A1718"/>
          <w:sz w:val="36"/>
          <w:szCs w:val="36"/>
        </w:rPr>
        <w:t>.) CANDLES</w:t>
      </w:r>
    </w:p>
    <w:p w14:paraId="7FA923CF" w14:textId="77777777" w:rsidR="00E318AC" w:rsidRDefault="00E318AC" w:rsidP="00E318AC">
      <w:pPr>
        <w:autoSpaceDE w:val="0"/>
        <w:autoSpaceDN w:val="0"/>
        <w:adjustRightInd w:val="0"/>
        <w:jc w:val="center"/>
        <w:rPr>
          <w:rFonts w:ascii="NotoSans" w:hAnsi="NotoSans" w:cs="NotoSans"/>
          <w:color w:val="1A1718"/>
          <w:sz w:val="36"/>
          <w:szCs w:val="36"/>
        </w:rPr>
      </w:pPr>
      <w:r>
        <w:rPr>
          <w:rFonts w:ascii="NotoSans" w:hAnsi="NotoSans" w:cs="NotoSans"/>
          <w:color w:val="1A1718"/>
          <w:sz w:val="36"/>
          <w:szCs w:val="36"/>
        </w:rPr>
        <w:t>All candles must be contained or enclosed in glass. The flame must not reach higher than 2 inches below the height of the glass</w:t>
      </w:r>
    </w:p>
    <w:p w14:paraId="16CFBF54" w14:textId="77777777" w:rsidR="00E318AC" w:rsidRDefault="00E318AC" w:rsidP="00E318AC">
      <w:pPr>
        <w:autoSpaceDE w:val="0"/>
        <w:autoSpaceDN w:val="0"/>
        <w:adjustRightInd w:val="0"/>
        <w:rPr>
          <w:rFonts w:ascii="NotoSans" w:hAnsi="NotoSans" w:cs="NotoSans"/>
          <w:color w:val="1A1718"/>
          <w:sz w:val="36"/>
          <w:szCs w:val="36"/>
        </w:rPr>
      </w:pPr>
    </w:p>
    <w:p w14:paraId="3AEBA832" w14:textId="06C73874" w:rsidR="00E318AC" w:rsidRDefault="0097414B"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3</w:t>
      </w:r>
      <w:r w:rsidR="00E318AC">
        <w:rPr>
          <w:rFonts w:ascii="NotoSans-Bold" w:hAnsi="NotoSans-Bold" w:cs="NotoSans-Bold"/>
          <w:b/>
          <w:bCs/>
          <w:color w:val="1A1718"/>
          <w:sz w:val="36"/>
          <w:szCs w:val="36"/>
        </w:rPr>
        <w:t>.) CELEBRATION ITEMS</w:t>
      </w:r>
    </w:p>
    <w:p w14:paraId="7DA06638" w14:textId="01612EB1" w:rsidR="00E318AC" w:rsidRDefault="00E318AC" w:rsidP="00E318AC">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The following Celebration Items are NOT permitted at The </w:t>
      </w:r>
      <w:r w:rsidR="0097414B">
        <w:rPr>
          <w:rFonts w:ascii="NotoSans" w:hAnsi="NotoSans" w:cs="NotoSans"/>
          <w:color w:val="1A1718"/>
          <w:sz w:val="36"/>
          <w:szCs w:val="36"/>
        </w:rPr>
        <w:t>Gathering Place</w:t>
      </w:r>
      <w:r>
        <w:rPr>
          <w:rFonts w:ascii="NotoSans" w:hAnsi="NotoSans" w:cs="NotoSans"/>
          <w:color w:val="1A1718"/>
          <w:sz w:val="36"/>
          <w:szCs w:val="36"/>
        </w:rPr>
        <w:t xml:space="preserve">: bird seed, rice, confetti, party string, Chinese Sky Lanterns, sparklers, or fireworks. These items are a danger to The Event Space and other guests. If these items are used Client will be charged an Illegal Celebration </w:t>
      </w:r>
      <w:r>
        <w:rPr>
          <w:rFonts w:ascii="NotoSans" w:hAnsi="NotoSans" w:cs="NotoSans"/>
          <w:color w:val="1A1718"/>
          <w:sz w:val="36"/>
          <w:szCs w:val="36"/>
        </w:rPr>
        <w:lastRenderedPageBreak/>
        <w:t>Fee</w:t>
      </w:r>
      <w:r w:rsidR="0097414B">
        <w:rPr>
          <w:rFonts w:ascii="NotoSans" w:hAnsi="NotoSans" w:cs="NotoSans"/>
          <w:color w:val="1A1718"/>
          <w:sz w:val="36"/>
          <w:szCs w:val="36"/>
        </w:rPr>
        <w:t xml:space="preserve"> </w:t>
      </w:r>
      <w:r>
        <w:rPr>
          <w:rFonts w:ascii="NotoSans" w:hAnsi="NotoSans" w:cs="NotoSans"/>
          <w:color w:val="1A1718"/>
          <w:sz w:val="36"/>
          <w:szCs w:val="36"/>
        </w:rPr>
        <w:t>(see Miscellaneous Fee section of Special Events) for each illegal item. </w:t>
      </w:r>
    </w:p>
    <w:p w14:paraId="0D7E6D4E" w14:textId="306B70A7" w:rsidR="00E318AC" w:rsidRDefault="00E318AC" w:rsidP="00E318AC">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The following items may be used OUTDOORS ONLY: bubbles, shakers, or Eco-Friendly dissolvable confetti. If any of these items are used inside The Event Center, Client will be charged an Excessive Cleaning Fee (see Miscellaneous Fee section of Special Events).</w:t>
      </w:r>
    </w:p>
    <w:p w14:paraId="4633FFA9" w14:textId="43D7D027" w:rsidR="00E318AC" w:rsidRDefault="00E318AC" w:rsidP="00E318AC">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Balloons may be used in moderation. Balloons must be removed during the Access Period and any broken pieces must be placed in a trash receptacle. If balloons (inflated, deflated, or pieces) are left after the Access Period, Client will incur an Excessive Cleaning Fee (see Miscellaneous Fee section of Special Events). </w:t>
      </w:r>
    </w:p>
    <w:p w14:paraId="63EF5408" w14:textId="77777777" w:rsidR="00E318AC" w:rsidRDefault="00E318AC" w:rsidP="00E318AC">
      <w:pPr>
        <w:autoSpaceDE w:val="0"/>
        <w:autoSpaceDN w:val="0"/>
        <w:adjustRightInd w:val="0"/>
        <w:rPr>
          <w:rFonts w:ascii="NotoSans" w:hAnsi="NotoSans" w:cs="NotoSans"/>
          <w:color w:val="1A1718"/>
          <w:sz w:val="36"/>
          <w:szCs w:val="36"/>
        </w:rPr>
      </w:pPr>
    </w:p>
    <w:p w14:paraId="2ECECCC1" w14:textId="587D84DD" w:rsidR="00E318AC" w:rsidRDefault="0097414B"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4</w:t>
      </w:r>
      <w:r w:rsidR="00E318AC">
        <w:rPr>
          <w:rFonts w:ascii="NotoSans-Bold" w:hAnsi="NotoSans-Bold" w:cs="NotoSans-Bold"/>
          <w:b/>
          <w:bCs/>
          <w:color w:val="1A1718"/>
          <w:sz w:val="36"/>
          <w:szCs w:val="36"/>
        </w:rPr>
        <w:t>.) SMOKING</w:t>
      </w:r>
    </w:p>
    <w:p w14:paraId="7B626850" w14:textId="4E42978D" w:rsidR="00E318AC" w:rsidRDefault="00E318AC" w:rsidP="00E318AC">
      <w:pPr>
        <w:rPr>
          <w:rFonts w:ascii="NotoSans" w:hAnsi="NotoSans" w:cs="NotoSans"/>
          <w:color w:val="1A1718"/>
          <w:sz w:val="36"/>
          <w:szCs w:val="36"/>
        </w:rPr>
      </w:pPr>
      <w:r>
        <w:rPr>
          <w:rFonts w:ascii="NotoSans" w:hAnsi="NotoSans" w:cs="NotoSans"/>
          <w:color w:val="1A1718"/>
          <w:sz w:val="36"/>
          <w:szCs w:val="36"/>
        </w:rPr>
        <w:t>Smoking is permitted ONLY in the designated area. Guest must use provided ashtrays. Guests smoking outside of the designated area will be classified as damage to the Event Center and a fee will be assessed. </w:t>
      </w:r>
    </w:p>
    <w:p w14:paraId="6BBCEAE4" w14:textId="498C1188" w:rsidR="00E318AC" w:rsidRDefault="00E318AC" w:rsidP="00E318AC">
      <w:pPr>
        <w:rPr>
          <w:rFonts w:ascii="NotoSans" w:hAnsi="NotoSans" w:cs="NotoSans"/>
          <w:color w:val="1A1718"/>
          <w:sz w:val="36"/>
          <w:szCs w:val="36"/>
        </w:rPr>
      </w:pPr>
    </w:p>
    <w:p w14:paraId="6AE9BB6E" w14:textId="23C84DA5" w:rsidR="00E318AC" w:rsidRDefault="0097414B" w:rsidP="00E318AC">
      <w:pPr>
        <w:rPr>
          <w:rFonts w:ascii="NotoSans" w:hAnsi="NotoSans" w:cs="NotoSans"/>
          <w:color w:val="1A1718"/>
          <w:sz w:val="36"/>
          <w:szCs w:val="36"/>
        </w:rPr>
      </w:pPr>
      <w:r>
        <w:rPr>
          <w:rFonts w:ascii="NotoSans" w:hAnsi="NotoSans" w:cs="NotoSans"/>
          <w:color w:val="1A1718"/>
          <w:sz w:val="36"/>
          <w:szCs w:val="36"/>
        </w:rPr>
        <w:br w:type="page"/>
      </w:r>
    </w:p>
    <w:p w14:paraId="1452D135" w14:textId="4572829B" w:rsidR="00E318AC" w:rsidRPr="0097414B" w:rsidRDefault="00E318AC" w:rsidP="0097414B">
      <w:pPr>
        <w:autoSpaceDE w:val="0"/>
        <w:autoSpaceDN w:val="0"/>
        <w:adjustRightInd w:val="0"/>
        <w:rPr>
          <w:rFonts w:ascii="GreatVibes-Regular" w:hAnsi="GreatVibes-Regular" w:cs="GreatVibes-Regular"/>
          <w:color w:val="1A1718"/>
          <w:sz w:val="72"/>
          <w:szCs w:val="72"/>
        </w:rPr>
      </w:pPr>
      <w:r w:rsidRPr="0097414B">
        <w:rPr>
          <w:rFonts w:ascii="GreatVibes-Regular" w:hAnsi="GreatVibes-Regular" w:cs="GreatVibes-Regular"/>
          <w:color w:val="1A1718"/>
          <w:sz w:val="72"/>
          <w:szCs w:val="72"/>
        </w:rPr>
        <w:lastRenderedPageBreak/>
        <w:t xml:space="preserve">Our Alcohol Policy </w:t>
      </w:r>
      <w:r w:rsidR="0097414B">
        <w:rPr>
          <w:rFonts w:ascii="GreatVibes-Regular" w:hAnsi="GreatVibes-Regular" w:cs="GreatVibes-Regular"/>
          <w:color w:val="1A1718"/>
          <w:sz w:val="72"/>
          <w:szCs w:val="72"/>
        </w:rPr>
        <w:t>f</w:t>
      </w:r>
      <w:r w:rsidRPr="0097414B">
        <w:rPr>
          <w:rFonts w:ascii="GreatVibes-Regular" w:hAnsi="GreatVibes-Regular" w:cs="GreatVibes-Regular"/>
          <w:color w:val="1A1718"/>
          <w:sz w:val="72"/>
          <w:szCs w:val="72"/>
        </w:rPr>
        <w:t>or All Events</w:t>
      </w:r>
    </w:p>
    <w:p w14:paraId="48309AA5" w14:textId="707283D3" w:rsidR="00E318AC" w:rsidRDefault="00E318AC" w:rsidP="00E318AC">
      <w:pPr>
        <w:autoSpaceDE w:val="0"/>
        <w:autoSpaceDN w:val="0"/>
        <w:adjustRightInd w:val="0"/>
        <w:jc w:val="center"/>
        <w:rPr>
          <w:rFonts w:ascii="NotoSans" w:hAnsi="NotoSans" w:cs="NotoSans"/>
          <w:color w:val="1A1718"/>
          <w:sz w:val="36"/>
          <w:szCs w:val="36"/>
        </w:rPr>
      </w:pPr>
      <w:r>
        <w:rPr>
          <w:rFonts w:ascii="NotoSans-Bold" w:hAnsi="NotoSans-Bold" w:cs="NotoSans-Bold"/>
          <w:b/>
          <w:bCs/>
          <w:color w:val="1A1718"/>
          <w:sz w:val="40"/>
          <w:szCs w:val="40"/>
        </w:rPr>
        <w:t xml:space="preserve">Event Center Rental Agreement-Exhibit </w:t>
      </w:r>
      <w:r w:rsidR="0097414B">
        <w:rPr>
          <w:rFonts w:ascii="NotoSans-Bold" w:hAnsi="NotoSans-Bold" w:cs="NotoSans-Bold"/>
          <w:b/>
          <w:bCs/>
          <w:color w:val="1A1718"/>
          <w:sz w:val="40"/>
          <w:szCs w:val="40"/>
        </w:rPr>
        <w:t>B</w:t>
      </w:r>
    </w:p>
    <w:p w14:paraId="0BA99538" w14:textId="38EE564B" w:rsidR="00E318AC" w:rsidRDefault="00E318AC" w:rsidP="00E318AC">
      <w:pPr>
        <w:autoSpaceDE w:val="0"/>
        <w:autoSpaceDN w:val="0"/>
        <w:adjustRightInd w:val="0"/>
        <w:jc w:val="center"/>
        <w:rPr>
          <w:rFonts w:ascii="NotoSans" w:hAnsi="NotoSans" w:cs="NotoSans"/>
          <w:color w:val="1A1718"/>
          <w:sz w:val="36"/>
          <w:szCs w:val="36"/>
        </w:rPr>
      </w:pPr>
      <w:r w:rsidRPr="0097414B">
        <w:rPr>
          <w:rFonts w:ascii="NotoSans-Bold" w:hAnsi="NotoSans-Bold" w:cs="NotoSans-Bold"/>
          <w:b/>
          <w:bCs/>
          <w:color w:val="BF8F00" w:themeColor="accent4" w:themeShade="BF"/>
          <w:sz w:val="40"/>
          <w:szCs w:val="40"/>
        </w:rPr>
        <w:t xml:space="preserve">The </w:t>
      </w:r>
      <w:r w:rsidR="0097414B" w:rsidRPr="0097414B">
        <w:rPr>
          <w:rFonts w:ascii="NotoSans-Bold" w:hAnsi="NotoSans-Bold" w:cs="NotoSans-Bold"/>
          <w:b/>
          <w:bCs/>
          <w:color w:val="BF8F00" w:themeColor="accent4" w:themeShade="BF"/>
          <w:sz w:val="40"/>
          <w:szCs w:val="40"/>
        </w:rPr>
        <w:t>Gathering Place</w:t>
      </w:r>
      <w:r w:rsidRPr="0097414B">
        <w:rPr>
          <w:rFonts w:ascii="NotoSans-Bold" w:hAnsi="NotoSans-Bold" w:cs="NotoSans-Bold"/>
          <w:b/>
          <w:bCs/>
          <w:color w:val="BF8F00" w:themeColor="accent4" w:themeShade="BF"/>
          <w:sz w:val="40"/>
          <w:szCs w:val="40"/>
        </w:rPr>
        <w:t xml:space="preserve"> </w:t>
      </w:r>
      <w:r>
        <w:rPr>
          <w:rFonts w:ascii="NotoSans-Bold" w:hAnsi="NotoSans-Bold" w:cs="NotoSans-Bold"/>
          <w:b/>
          <w:bCs/>
          <w:color w:val="1A1718"/>
          <w:sz w:val="40"/>
          <w:szCs w:val="40"/>
        </w:rPr>
        <w:t>Alcohol Policy</w:t>
      </w:r>
    </w:p>
    <w:p w14:paraId="03CE40B1" w14:textId="77777777" w:rsidR="00E318AC" w:rsidRDefault="00E318AC" w:rsidP="00E318AC">
      <w:pPr>
        <w:autoSpaceDE w:val="0"/>
        <w:autoSpaceDN w:val="0"/>
        <w:adjustRightInd w:val="0"/>
        <w:jc w:val="center"/>
        <w:rPr>
          <w:rFonts w:ascii="NotoSans" w:hAnsi="NotoSans" w:cs="NotoSans"/>
          <w:color w:val="1A1718"/>
          <w:sz w:val="36"/>
          <w:szCs w:val="36"/>
        </w:rPr>
      </w:pPr>
    </w:p>
    <w:p w14:paraId="62E7E3E1" w14:textId="56576EF5" w:rsidR="0097414B" w:rsidRPr="0097414B" w:rsidRDefault="00E318AC" w:rsidP="0097414B">
      <w:pPr>
        <w:autoSpaceDE w:val="0"/>
        <w:autoSpaceDN w:val="0"/>
        <w:adjustRightInd w:val="0"/>
        <w:rPr>
          <w:rFonts w:ascii="NotoSans" w:hAnsi="NotoSans" w:cs="NotoSans"/>
          <w:color w:val="1A1718"/>
          <w:sz w:val="36"/>
          <w:szCs w:val="36"/>
        </w:rPr>
      </w:pPr>
      <w:r>
        <w:rPr>
          <w:rFonts w:ascii="NotoSans" w:hAnsi="NotoSans" w:cs="NotoSans"/>
          <w:color w:val="1A1718"/>
          <w:sz w:val="36"/>
          <w:szCs w:val="36"/>
        </w:rPr>
        <w:t xml:space="preserve">Any and all liabilities arise from the consumption of alcoholic beverages or illegal substances are the responsibility of the Client. All </w:t>
      </w:r>
      <w:r w:rsidR="0097414B">
        <w:rPr>
          <w:rFonts w:ascii="NotoSans" w:hAnsi="NotoSans" w:cs="NotoSans"/>
          <w:color w:val="1A1718"/>
          <w:sz w:val="36"/>
          <w:szCs w:val="36"/>
        </w:rPr>
        <w:t>Kentucky</w:t>
      </w:r>
      <w:r>
        <w:rPr>
          <w:rFonts w:ascii="NotoSans" w:hAnsi="NotoSans" w:cs="NotoSans"/>
          <w:color w:val="1A1718"/>
          <w:sz w:val="36"/>
          <w:szCs w:val="36"/>
        </w:rPr>
        <w:t xml:space="preserve"> State Laws and Federal Laws must be adhered to at all times. </w:t>
      </w:r>
      <w:r>
        <w:rPr>
          <w:rFonts w:ascii="NotoSans-Bold" w:hAnsi="NotoSans-Bold" w:cs="NotoSans-Bold"/>
          <w:b/>
          <w:bCs/>
          <w:color w:val="1A1718"/>
          <w:sz w:val="36"/>
          <w:szCs w:val="36"/>
        </w:rPr>
        <w:t>The following are additional rules that must be followed by Clients, Client’s Guests, and Vendors. Non-adherence to these rules may lead to the cessation of bar service or expulsion.</w:t>
      </w:r>
    </w:p>
    <w:p w14:paraId="1C83C435" w14:textId="77777777" w:rsidR="0097414B" w:rsidRDefault="0097414B" w:rsidP="00E318AC">
      <w:pPr>
        <w:autoSpaceDE w:val="0"/>
        <w:autoSpaceDN w:val="0"/>
        <w:adjustRightInd w:val="0"/>
        <w:jc w:val="center"/>
        <w:rPr>
          <w:rFonts w:ascii="NotoSans-Bold" w:hAnsi="NotoSans-Bold" w:cs="NotoSans-Bold"/>
          <w:b/>
          <w:bCs/>
          <w:color w:val="1A1718"/>
          <w:sz w:val="36"/>
          <w:szCs w:val="36"/>
        </w:rPr>
      </w:pPr>
    </w:p>
    <w:p w14:paraId="0CFB4CFF" w14:textId="77777777" w:rsidR="00E318AC" w:rsidRDefault="00E318AC"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1.) SERVICE GUIDELINES</w:t>
      </w:r>
    </w:p>
    <w:p w14:paraId="77AE3898" w14:textId="428CDC45" w:rsidR="00E318AC" w:rsidRPr="0097414B" w:rsidRDefault="00E318AC" w:rsidP="0097414B">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All alcohol must be served by designated representatives of</w:t>
      </w:r>
      <w:r w:rsidR="0097414B">
        <w:rPr>
          <w:rFonts w:ascii="NotoSans" w:hAnsi="NotoSans" w:cs="NotoSans"/>
          <w:color w:val="1A1718"/>
          <w:sz w:val="36"/>
          <w:szCs w:val="36"/>
        </w:rPr>
        <w:t xml:space="preserve"> </w:t>
      </w:r>
      <w:r>
        <w:rPr>
          <w:rFonts w:ascii="NotoSans" w:hAnsi="NotoSans" w:cs="NotoSans"/>
          <w:color w:val="1A1718"/>
          <w:sz w:val="36"/>
          <w:szCs w:val="36"/>
        </w:rPr>
        <w:t xml:space="preserve">The </w:t>
      </w:r>
      <w:r w:rsidR="0097414B">
        <w:rPr>
          <w:rFonts w:ascii="NotoSans" w:hAnsi="NotoSans" w:cs="NotoSans"/>
          <w:color w:val="1A1718"/>
          <w:sz w:val="36"/>
          <w:szCs w:val="36"/>
        </w:rPr>
        <w:t>Gathering Place</w:t>
      </w:r>
      <w:r>
        <w:rPr>
          <w:rFonts w:ascii="NotoSans" w:hAnsi="NotoSans" w:cs="NotoSans"/>
          <w:color w:val="1A1718"/>
          <w:sz w:val="36"/>
          <w:szCs w:val="36"/>
        </w:rPr>
        <w:t>.</w:t>
      </w:r>
    </w:p>
    <w:p w14:paraId="71BE04F8" w14:textId="7A082719" w:rsidR="00E318AC" w:rsidRDefault="00E318AC" w:rsidP="00E318AC">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No alcohol can be served unless there is food </w:t>
      </w:r>
      <w:r w:rsidR="0097414B">
        <w:rPr>
          <w:rFonts w:ascii="NotoSans" w:hAnsi="NotoSans" w:cs="NotoSans"/>
          <w:color w:val="1A1718"/>
          <w:sz w:val="36"/>
          <w:szCs w:val="36"/>
        </w:rPr>
        <w:t>available.</w:t>
      </w:r>
    </w:p>
    <w:p w14:paraId="7FCFB114" w14:textId="5F8142B9" w:rsidR="00E318AC" w:rsidRPr="0097414B" w:rsidRDefault="00E318AC" w:rsidP="0097414B">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In compliance with the National Minimum Drinking Age Act, The </w:t>
      </w:r>
      <w:r w:rsidR="0097414B">
        <w:rPr>
          <w:rFonts w:ascii="NotoSans" w:hAnsi="NotoSans" w:cs="NotoSans"/>
          <w:color w:val="1A1718"/>
          <w:sz w:val="36"/>
          <w:szCs w:val="36"/>
        </w:rPr>
        <w:t>Gathering Place</w:t>
      </w:r>
      <w:r>
        <w:rPr>
          <w:rFonts w:ascii="NotoSans" w:hAnsi="NotoSans" w:cs="NotoSans"/>
          <w:color w:val="1A1718"/>
          <w:sz w:val="36"/>
          <w:szCs w:val="36"/>
        </w:rPr>
        <w:t xml:space="preserve"> reserves the right to request a valid form of identification to verify age of any guest.</w:t>
      </w:r>
    </w:p>
    <w:p w14:paraId="5DC954C9" w14:textId="734899CC" w:rsidR="00E318AC" w:rsidRDefault="00E318AC" w:rsidP="00E318AC">
      <w:pPr>
        <w:numPr>
          <w:ilvl w:val="0"/>
          <w:numId w:val="4"/>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The </w:t>
      </w:r>
      <w:r w:rsidR="0097414B">
        <w:rPr>
          <w:rFonts w:ascii="NotoSans" w:hAnsi="NotoSans" w:cs="NotoSans"/>
          <w:color w:val="1A1718"/>
          <w:sz w:val="36"/>
          <w:szCs w:val="36"/>
        </w:rPr>
        <w:t>Gathering Place</w:t>
      </w:r>
      <w:r>
        <w:rPr>
          <w:rFonts w:ascii="NotoSans" w:hAnsi="NotoSans" w:cs="NotoSans"/>
          <w:color w:val="1A1718"/>
          <w:sz w:val="36"/>
          <w:szCs w:val="36"/>
        </w:rPr>
        <w:t xml:space="preserve"> serves 1.25 oz. pours. </w:t>
      </w:r>
    </w:p>
    <w:p w14:paraId="43411D6C" w14:textId="34128AE2" w:rsidR="0097414B" w:rsidRDefault="0097414B" w:rsidP="0097414B">
      <w:pPr>
        <w:tabs>
          <w:tab w:val="left" w:pos="220"/>
          <w:tab w:val="left" w:pos="720"/>
        </w:tabs>
        <w:autoSpaceDE w:val="0"/>
        <w:autoSpaceDN w:val="0"/>
        <w:adjustRightInd w:val="0"/>
        <w:ind w:left="720"/>
        <w:rPr>
          <w:rFonts w:ascii="NotoSans" w:hAnsi="NotoSans" w:cs="NotoSans"/>
          <w:color w:val="1A1718"/>
          <w:sz w:val="36"/>
          <w:szCs w:val="36"/>
        </w:rPr>
      </w:pPr>
    </w:p>
    <w:p w14:paraId="4666C0FD" w14:textId="77777777" w:rsidR="0097414B" w:rsidRDefault="0097414B" w:rsidP="0097414B">
      <w:pPr>
        <w:tabs>
          <w:tab w:val="left" w:pos="220"/>
          <w:tab w:val="left" w:pos="720"/>
        </w:tabs>
        <w:autoSpaceDE w:val="0"/>
        <w:autoSpaceDN w:val="0"/>
        <w:adjustRightInd w:val="0"/>
        <w:ind w:left="720"/>
        <w:rPr>
          <w:rFonts w:ascii="NotoSans" w:hAnsi="NotoSans" w:cs="NotoSans"/>
          <w:color w:val="1A1718"/>
          <w:sz w:val="36"/>
          <w:szCs w:val="36"/>
        </w:rPr>
      </w:pPr>
    </w:p>
    <w:p w14:paraId="0FC67B10" w14:textId="2A819362" w:rsidR="00E318AC" w:rsidRDefault="00E318AC"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2.) CESSATION OF SERVICE:</w:t>
      </w:r>
      <w:r>
        <w:rPr>
          <w:rFonts w:ascii="NotoSans" w:hAnsi="NotoSans" w:cs="NotoSans"/>
          <w:color w:val="1A1718"/>
          <w:sz w:val="36"/>
          <w:szCs w:val="36"/>
        </w:rPr>
        <w:t xml:space="preserve"> The </w:t>
      </w:r>
      <w:r w:rsidR="0097414B">
        <w:rPr>
          <w:rFonts w:ascii="NotoSans" w:hAnsi="NotoSans" w:cs="NotoSans"/>
          <w:color w:val="1A1718"/>
          <w:sz w:val="36"/>
          <w:szCs w:val="36"/>
        </w:rPr>
        <w:t>Gathering Place</w:t>
      </w:r>
      <w:r>
        <w:rPr>
          <w:rFonts w:ascii="NotoSans" w:hAnsi="NotoSans" w:cs="NotoSans"/>
          <w:color w:val="1A1718"/>
          <w:sz w:val="36"/>
          <w:szCs w:val="36"/>
        </w:rPr>
        <w:t xml:space="preserve"> reserves the right to refuse bar service to individual guests, evict Clients or their guests from the property, or to close the bar at any time during the Event. Client will not be refunded unconsumed alcohol.</w:t>
      </w:r>
    </w:p>
    <w:p w14:paraId="4C6BD8B2" w14:textId="77777777" w:rsidR="00E318AC" w:rsidRDefault="00E318AC" w:rsidP="00E318AC">
      <w:pPr>
        <w:autoSpaceDE w:val="0"/>
        <w:autoSpaceDN w:val="0"/>
        <w:adjustRightInd w:val="0"/>
        <w:rPr>
          <w:rFonts w:ascii="NotoSans" w:hAnsi="NotoSans" w:cs="NotoSans"/>
          <w:color w:val="1A1718"/>
          <w:sz w:val="36"/>
          <w:szCs w:val="36"/>
        </w:rPr>
      </w:pPr>
    </w:p>
    <w:p w14:paraId="6065143B" w14:textId="77777777" w:rsidR="00E318AC" w:rsidRDefault="00E318AC" w:rsidP="00E318AC">
      <w:pPr>
        <w:autoSpaceDE w:val="0"/>
        <w:autoSpaceDN w:val="0"/>
        <w:adjustRightInd w:val="0"/>
        <w:jc w:val="center"/>
        <w:rPr>
          <w:rFonts w:ascii="NotoSans" w:hAnsi="NotoSans" w:cs="NotoSans"/>
          <w:color w:val="1A1718"/>
          <w:sz w:val="36"/>
          <w:szCs w:val="36"/>
        </w:rPr>
      </w:pPr>
      <w:r>
        <w:rPr>
          <w:rFonts w:ascii="NotoSans" w:hAnsi="NotoSans" w:cs="NotoSans"/>
          <w:color w:val="1A1718"/>
          <w:sz w:val="36"/>
          <w:szCs w:val="36"/>
        </w:rPr>
        <w:lastRenderedPageBreak/>
        <w:t>Specific behaviors that will result in expulsion or bar closure include, but NOT limited to:</w:t>
      </w:r>
    </w:p>
    <w:p w14:paraId="20C60708" w14:textId="4792278A" w:rsidR="00E318AC" w:rsidRDefault="00E318AC" w:rsidP="00E318AC">
      <w:pPr>
        <w:numPr>
          <w:ilvl w:val="0"/>
          <w:numId w:val="5"/>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Displaying intoxicated behavior, including but not limited to: swerving, slurring, stumbling, fighting, destruction of property, disrespectful behavior (to other Guests, Vendors, or The </w:t>
      </w:r>
      <w:r w:rsidR="0097414B">
        <w:rPr>
          <w:rFonts w:ascii="NotoSans" w:hAnsi="NotoSans" w:cs="NotoSans"/>
          <w:color w:val="1A1718"/>
          <w:sz w:val="36"/>
          <w:szCs w:val="36"/>
        </w:rPr>
        <w:t>Gathering Place</w:t>
      </w:r>
      <w:r>
        <w:rPr>
          <w:rFonts w:ascii="NotoSans" w:hAnsi="NotoSans" w:cs="NotoSans"/>
          <w:color w:val="1A1718"/>
          <w:sz w:val="36"/>
          <w:szCs w:val="36"/>
        </w:rPr>
        <w:t xml:space="preserve"> staff), and getting sick.</w:t>
      </w:r>
    </w:p>
    <w:p w14:paraId="68089173" w14:textId="2CAB0790" w:rsidR="00E318AC" w:rsidRDefault="00E318AC" w:rsidP="00E318AC">
      <w:pPr>
        <w:numPr>
          <w:ilvl w:val="0"/>
          <w:numId w:val="5"/>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Attempting to prevent a bartender or other representative of The </w:t>
      </w:r>
      <w:r w:rsidR="0097414B">
        <w:rPr>
          <w:rFonts w:ascii="NotoSans" w:hAnsi="NotoSans" w:cs="NotoSans"/>
          <w:color w:val="1A1718"/>
          <w:sz w:val="36"/>
          <w:szCs w:val="36"/>
        </w:rPr>
        <w:t>Gathering Place</w:t>
      </w:r>
      <w:r>
        <w:rPr>
          <w:rFonts w:ascii="NotoSans" w:hAnsi="NotoSans" w:cs="NotoSans"/>
          <w:color w:val="1A1718"/>
          <w:sz w:val="36"/>
          <w:szCs w:val="36"/>
        </w:rPr>
        <w:t xml:space="preserve"> from refusing service to any guest.</w:t>
      </w:r>
    </w:p>
    <w:p w14:paraId="2BC0D6EC" w14:textId="77777777" w:rsidR="00E318AC" w:rsidRDefault="00E318AC" w:rsidP="00E318AC">
      <w:pPr>
        <w:numPr>
          <w:ilvl w:val="0"/>
          <w:numId w:val="5"/>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Allowing minor persons to consume alcohol</w:t>
      </w:r>
    </w:p>
    <w:p w14:paraId="2001F606" w14:textId="77777777" w:rsidR="00E318AC" w:rsidRDefault="00E318AC" w:rsidP="00E318AC">
      <w:pPr>
        <w:numPr>
          <w:ilvl w:val="0"/>
          <w:numId w:val="5"/>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Possession and/or consumption of personal supply of alcohol –this includes private vehicles located in parking areas.</w:t>
      </w:r>
    </w:p>
    <w:p w14:paraId="0648194D" w14:textId="2EB72905" w:rsidR="00E318AC" w:rsidRDefault="00E318AC" w:rsidP="00E318AC">
      <w:pPr>
        <w:numPr>
          <w:ilvl w:val="0"/>
          <w:numId w:val="5"/>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Consumption of alcohol not served by bartender</w:t>
      </w:r>
    </w:p>
    <w:p w14:paraId="43AD664E" w14:textId="77777777" w:rsidR="0097414B" w:rsidRDefault="0097414B" w:rsidP="0097414B">
      <w:pPr>
        <w:tabs>
          <w:tab w:val="left" w:pos="220"/>
          <w:tab w:val="left" w:pos="720"/>
        </w:tabs>
        <w:autoSpaceDE w:val="0"/>
        <w:autoSpaceDN w:val="0"/>
        <w:adjustRightInd w:val="0"/>
        <w:ind w:left="720"/>
        <w:rPr>
          <w:rFonts w:ascii="NotoSans" w:hAnsi="NotoSans" w:cs="NotoSans"/>
          <w:color w:val="1A1718"/>
          <w:sz w:val="36"/>
          <w:szCs w:val="36"/>
        </w:rPr>
      </w:pPr>
    </w:p>
    <w:p w14:paraId="16FF5FA3" w14:textId="77777777" w:rsidR="00E318AC" w:rsidRDefault="00E318AC"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3.) BAR CLOSURE AT THE END OF THE EVENT:</w:t>
      </w:r>
      <w:r>
        <w:rPr>
          <w:rFonts w:ascii="NotoSans" w:hAnsi="NotoSans" w:cs="NotoSans"/>
          <w:color w:val="1A1718"/>
          <w:sz w:val="36"/>
          <w:szCs w:val="36"/>
        </w:rPr>
        <w:t xml:space="preserve"> All bars shall close according to the following schedule:</w:t>
      </w:r>
    </w:p>
    <w:p w14:paraId="5E04C0B0" w14:textId="4694B477" w:rsidR="00E318AC" w:rsidRDefault="00E318AC" w:rsidP="00E318AC">
      <w:pPr>
        <w:numPr>
          <w:ilvl w:val="0"/>
          <w:numId w:val="6"/>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One hour before the end of the Event, the bar will switch to plastic cups</w:t>
      </w:r>
      <w:r w:rsidR="0097414B">
        <w:rPr>
          <w:rFonts w:ascii="NotoSans" w:hAnsi="NotoSans" w:cs="NotoSans"/>
          <w:color w:val="1A1718"/>
          <w:sz w:val="36"/>
          <w:szCs w:val="36"/>
        </w:rPr>
        <w:t xml:space="preserve"> if glass has been used.</w:t>
      </w:r>
    </w:p>
    <w:p w14:paraId="7760FCEC" w14:textId="77777777" w:rsidR="00E318AC" w:rsidRDefault="00E318AC" w:rsidP="00E318AC">
      <w:pPr>
        <w:numPr>
          <w:ilvl w:val="0"/>
          <w:numId w:val="6"/>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Last call will be announced 45 minutes before the end of the event.</w:t>
      </w:r>
    </w:p>
    <w:p w14:paraId="5ED3D388" w14:textId="77777777" w:rsidR="00E318AC" w:rsidRDefault="00E318AC" w:rsidP="00E318AC">
      <w:pPr>
        <w:numPr>
          <w:ilvl w:val="0"/>
          <w:numId w:val="6"/>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The bar will close 30 minutes before the end of the event.</w:t>
      </w:r>
    </w:p>
    <w:p w14:paraId="7F66F486" w14:textId="77777777" w:rsidR="00E318AC" w:rsidRDefault="00E318AC" w:rsidP="00E318AC">
      <w:pPr>
        <w:numPr>
          <w:ilvl w:val="0"/>
          <w:numId w:val="6"/>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Bars will not close any sooner than 30 minutes prior to the event end, unless required for safe alcohol service.</w:t>
      </w:r>
    </w:p>
    <w:p w14:paraId="2BBFBD01" w14:textId="77777777" w:rsidR="00E318AC" w:rsidRDefault="00E318AC" w:rsidP="00E318AC">
      <w:pPr>
        <w:autoSpaceDE w:val="0"/>
        <w:autoSpaceDN w:val="0"/>
        <w:adjustRightInd w:val="0"/>
        <w:rPr>
          <w:rFonts w:ascii="NotoSans" w:hAnsi="NotoSans" w:cs="NotoSans"/>
          <w:color w:val="1A1718"/>
          <w:sz w:val="36"/>
          <w:szCs w:val="36"/>
        </w:rPr>
      </w:pPr>
    </w:p>
    <w:p w14:paraId="75C2A0CF" w14:textId="77777777" w:rsidR="00E318AC" w:rsidRDefault="00E318AC" w:rsidP="00E318AC">
      <w:pPr>
        <w:autoSpaceDE w:val="0"/>
        <w:autoSpaceDN w:val="0"/>
        <w:adjustRightInd w:val="0"/>
        <w:rPr>
          <w:rFonts w:ascii="NotoSans" w:hAnsi="NotoSans" w:cs="NotoSans"/>
          <w:color w:val="1A1718"/>
          <w:sz w:val="36"/>
          <w:szCs w:val="36"/>
        </w:rPr>
      </w:pPr>
      <w:r>
        <w:rPr>
          <w:rFonts w:ascii="NotoSans-Bold" w:hAnsi="NotoSans-Bold" w:cs="NotoSans-Bold"/>
          <w:b/>
          <w:bCs/>
          <w:color w:val="1A1718"/>
          <w:sz w:val="36"/>
          <w:szCs w:val="36"/>
        </w:rPr>
        <w:t>4.) BAR PACKAGES:</w:t>
      </w:r>
    </w:p>
    <w:p w14:paraId="46A0100C" w14:textId="72C22844" w:rsidR="00E318AC" w:rsidRDefault="00E318AC" w:rsidP="00E318AC">
      <w:pPr>
        <w:numPr>
          <w:ilvl w:val="0"/>
          <w:numId w:val="7"/>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The </w:t>
      </w:r>
      <w:r w:rsidR="0097414B">
        <w:rPr>
          <w:rFonts w:ascii="NotoSans" w:hAnsi="NotoSans" w:cs="NotoSans"/>
          <w:color w:val="1A1718"/>
          <w:sz w:val="36"/>
          <w:szCs w:val="36"/>
        </w:rPr>
        <w:t>Gathering Place</w:t>
      </w:r>
      <w:r>
        <w:rPr>
          <w:rFonts w:ascii="NotoSans" w:hAnsi="NotoSans" w:cs="NotoSans"/>
          <w:color w:val="1A1718"/>
          <w:sz w:val="36"/>
          <w:szCs w:val="36"/>
        </w:rPr>
        <w:t xml:space="preserve"> Bar Packages do not include bartenders or table service. Table service is available upon request.</w:t>
      </w:r>
    </w:p>
    <w:p w14:paraId="0594771A" w14:textId="3B5677CF" w:rsidR="00E318AC" w:rsidRDefault="00E318AC" w:rsidP="00E318AC">
      <w:pPr>
        <w:numPr>
          <w:ilvl w:val="0"/>
          <w:numId w:val="7"/>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The </w:t>
      </w:r>
      <w:r w:rsidR="0097414B">
        <w:rPr>
          <w:rFonts w:ascii="NotoSans" w:hAnsi="NotoSans" w:cs="NotoSans"/>
          <w:color w:val="1A1718"/>
          <w:sz w:val="36"/>
          <w:szCs w:val="36"/>
        </w:rPr>
        <w:t>Gathering Place</w:t>
      </w:r>
      <w:r>
        <w:rPr>
          <w:rFonts w:ascii="NotoSans" w:hAnsi="NotoSans" w:cs="NotoSans"/>
          <w:color w:val="1A1718"/>
          <w:sz w:val="36"/>
          <w:szCs w:val="36"/>
        </w:rPr>
        <w:t xml:space="preserve"> reserves the right to determine appropriate levels of bar staff to maintain its standard of providing excellent and safe alcohol service.</w:t>
      </w:r>
    </w:p>
    <w:p w14:paraId="2BA9D2A6" w14:textId="0068FFDB" w:rsidR="00E318AC" w:rsidRDefault="00E318AC" w:rsidP="00E318AC">
      <w:pPr>
        <w:numPr>
          <w:ilvl w:val="0"/>
          <w:numId w:val="7"/>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lastRenderedPageBreak/>
        <w:t xml:space="preserve">The </w:t>
      </w:r>
      <w:r w:rsidR="0097414B">
        <w:rPr>
          <w:rFonts w:ascii="NotoSans" w:hAnsi="NotoSans" w:cs="NotoSans"/>
          <w:color w:val="1A1718"/>
          <w:sz w:val="36"/>
          <w:szCs w:val="36"/>
        </w:rPr>
        <w:t>Gathering Place</w:t>
      </w:r>
      <w:r>
        <w:rPr>
          <w:rFonts w:ascii="NotoSans" w:hAnsi="NotoSans" w:cs="NotoSans"/>
          <w:color w:val="1A1718"/>
          <w:sz w:val="36"/>
          <w:szCs w:val="36"/>
        </w:rPr>
        <w:t xml:space="preserve"> may provide an estimate for the amount of alcohol recommended to serve each event. However, the final amount is at the discretion of the Client.</w:t>
      </w:r>
    </w:p>
    <w:p w14:paraId="2D02F89B" w14:textId="135FB119" w:rsidR="00E318AC" w:rsidRDefault="00E318AC" w:rsidP="00E318AC">
      <w:pPr>
        <w:numPr>
          <w:ilvl w:val="0"/>
          <w:numId w:val="7"/>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Where alcohol is purchased per consumption, The </w:t>
      </w:r>
      <w:r w:rsidR="0097414B">
        <w:rPr>
          <w:rFonts w:ascii="NotoSans" w:hAnsi="NotoSans" w:cs="NotoSans"/>
          <w:color w:val="1A1718"/>
          <w:sz w:val="36"/>
          <w:szCs w:val="36"/>
        </w:rPr>
        <w:t>Gathering Place</w:t>
      </w:r>
      <w:r>
        <w:rPr>
          <w:rFonts w:ascii="NotoSans" w:hAnsi="NotoSans" w:cs="NotoSans"/>
          <w:color w:val="1A1718"/>
          <w:sz w:val="36"/>
          <w:szCs w:val="36"/>
        </w:rPr>
        <w:t xml:space="preserve"> may provide an estimate for the amount of alcohol required to serve each Event. </w:t>
      </w:r>
    </w:p>
    <w:p w14:paraId="66082507" w14:textId="2FB9E91C" w:rsidR="00E318AC" w:rsidRDefault="00E318AC" w:rsidP="00E318AC">
      <w:pPr>
        <w:numPr>
          <w:ilvl w:val="0"/>
          <w:numId w:val="7"/>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The </w:t>
      </w:r>
      <w:r w:rsidR="0097414B">
        <w:rPr>
          <w:rFonts w:ascii="NotoSans" w:hAnsi="NotoSans" w:cs="NotoSans"/>
          <w:color w:val="1A1718"/>
          <w:sz w:val="36"/>
          <w:szCs w:val="36"/>
        </w:rPr>
        <w:t>Gathering Place</w:t>
      </w:r>
      <w:r>
        <w:rPr>
          <w:rFonts w:ascii="NotoSans" w:hAnsi="NotoSans" w:cs="NotoSans"/>
          <w:color w:val="1A1718"/>
          <w:sz w:val="36"/>
          <w:szCs w:val="36"/>
        </w:rPr>
        <w:t xml:space="preserve"> is not required to provide alcohol beyond the amounts ordered by client.</w:t>
      </w:r>
    </w:p>
    <w:p w14:paraId="61816BC3" w14:textId="16D96577" w:rsidR="00E318AC" w:rsidRDefault="00E318AC" w:rsidP="00E318AC">
      <w:pPr>
        <w:numPr>
          <w:ilvl w:val="0"/>
          <w:numId w:val="7"/>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Unless previously agreed on, The </w:t>
      </w:r>
      <w:r w:rsidR="0097414B">
        <w:rPr>
          <w:rFonts w:ascii="NotoSans" w:hAnsi="NotoSans" w:cs="NotoSans"/>
          <w:color w:val="1A1718"/>
          <w:sz w:val="36"/>
          <w:szCs w:val="36"/>
        </w:rPr>
        <w:t>Gathering Place</w:t>
      </w:r>
      <w:r>
        <w:rPr>
          <w:rFonts w:ascii="NotoSans" w:hAnsi="NotoSans" w:cs="NotoSans"/>
          <w:color w:val="1A1718"/>
          <w:sz w:val="36"/>
          <w:szCs w:val="36"/>
        </w:rPr>
        <w:t xml:space="preserve"> will not credit the Client for unconsumed alcohol. </w:t>
      </w:r>
    </w:p>
    <w:p w14:paraId="3D0FF919" w14:textId="04440C94" w:rsidR="00E318AC" w:rsidRDefault="00E318AC" w:rsidP="00E318AC">
      <w:pPr>
        <w:autoSpaceDE w:val="0"/>
        <w:autoSpaceDN w:val="0"/>
        <w:adjustRightInd w:val="0"/>
        <w:rPr>
          <w:rFonts w:ascii="NotoSans" w:hAnsi="NotoSans" w:cs="NotoSans"/>
          <w:color w:val="1A1718"/>
          <w:sz w:val="36"/>
          <w:szCs w:val="36"/>
        </w:rPr>
      </w:pPr>
      <w:r>
        <w:rPr>
          <w:rFonts w:ascii="NotoSans" w:hAnsi="NotoSans" w:cs="NotoSans"/>
          <w:color w:val="1A1718"/>
          <w:sz w:val="36"/>
          <w:szCs w:val="36"/>
        </w:rPr>
        <w:t>At The</w:t>
      </w:r>
      <w:r w:rsidR="0097414B">
        <w:rPr>
          <w:rFonts w:ascii="NotoSans" w:hAnsi="NotoSans" w:cs="NotoSans"/>
          <w:color w:val="1A1718"/>
          <w:sz w:val="36"/>
          <w:szCs w:val="36"/>
        </w:rPr>
        <w:t xml:space="preserve"> Gathering Place</w:t>
      </w:r>
      <w:r>
        <w:rPr>
          <w:rFonts w:ascii="NotoSans" w:hAnsi="NotoSans" w:cs="NotoSans"/>
          <w:color w:val="1A1718"/>
          <w:sz w:val="36"/>
          <w:szCs w:val="36"/>
        </w:rPr>
        <w:t xml:space="preserve"> reserves the rights to:</w:t>
      </w:r>
    </w:p>
    <w:p w14:paraId="28D40515" w14:textId="61A17F37" w:rsidR="00E318AC" w:rsidRDefault="00E318AC" w:rsidP="00E318AC">
      <w:pPr>
        <w:numPr>
          <w:ilvl w:val="0"/>
          <w:numId w:val="8"/>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Evict any person(s) engaging in unacceptable activities outlined above, or not complying with the decisions of The </w:t>
      </w:r>
      <w:r w:rsidR="0097414B">
        <w:rPr>
          <w:rFonts w:ascii="NotoSans" w:hAnsi="NotoSans" w:cs="NotoSans"/>
          <w:color w:val="1A1718"/>
          <w:sz w:val="36"/>
          <w:szCs w:val="36"/>
        </w:rPr>
        <w:t>Gathering Place</w:t>
      </w:r>
      <w:r>
        <w:rPr>
          <w:rFonts w:ascii="NotoSans" w:hAnsi="NotoSans" w:cs="NotoSans"/>
          <w:color w:val="1A1718"/>
          <w:sz w:val="36"/>
          <w:szCs w:val="36"/>
        </w:rPr>
        <w:t xml:space="preserve"> Staff.</w:t>
      </w:r>
    </w:p>
    <w:p w14:paraId="68D3B7AA" w14:textId="5F67781A" w:rsidR="00E318AC" w:rsidRDefault="00E318AC" w:rsidP="00E318AC">
      <w:pPr>
        <w:numPr>
          <w:ilvl w:val="0"/>
          <w:numId w:val="8"/>
        </w:numPr>
        <w:tabs>
          <w:tab w:val="left" w:pos="220"/>
          <w:tab w:val="left" w:pos="720"/>
        </w:tabs>
        <w:autoSpaceDE w:val="0"/>
        <w:autoSpaceDN w:val="0"/>
        <w:adjustRightInd w:val="0"/>
        <w:ind w:hanging="720"/>
        <w:rPr>
          <w:rFonts w:ascii="NotoSans" w:hAnsi="NotoSans" w:cs="NotoSans"/>
          <w:color w:val="1A1718"/>
          <w:sz w:val="36"/>
          <w:szCs w:val="36"/>
        </w:rPr>
      </w:pPr>
      <w:r>
        <w:rPr>
          <w:rFonts w:ascii="NotoSans" w:hAnsi="NotoSans" w:cs="NotoSans"/>
          <w:color w:val="1A1718"/>
          <w:sz w:val="36"/>
          <w:szCs w:val="36"/>
        </w:rPr>
        <w:t xml:space="preserve">Close the bar and remove </w:t>
      </w:r>
      <w:r>
        <w:rPr>
          <w:rFonts w:ascii="NotoSans-Italic" w:hAnsi="NotoSans-Italic" w:cs="NotoSans-Italic"/>
          <w:i/>
          <w:iCs/>
          <w:color w:val="1A1718"/>
          <w:sz w:val="36"/>
          <w:szCs w:val="36"/>
          <w:u w:val="single"/>
        </w:rPr>
        <w:t>all</w:t>
      </w:r>
      <w:r>
        <w:rPr>
          <w:rFonts w:ascii="NotoSans" w:hAnsi="NotoSans" w:cs="NotoSans"/>
          <w:color w:val="1A1718"/>
          <w:sz w:val="36"/>
          <w:szCs w:val="36"/>
        </w:rPr>
        <w:t xml:space="preserve"> alcoholic beverages from The </w:t>
      </w:r>
      <w:r w:rsidR="0097414B">
        <w:rPr>
          <w:rFonts w:ascii="NotoSans" w:hAnsi="NotoSans" w:cs="NotoSans"/>
          <w:color w:val="1A1718"/>
          <w:sz w:val="36"/>
          <w:szCs w:val="36"/>
        </w:rPr>
        <w:t>Gathering Place</w:t>
      </w:r>
      <w:r>
        <w:rPr>
          <w:rFonts w:ascii="NotoSans" w:hAnsi="NotoSans" w:cs="NotoSans"/>
          <w:color w:val="1A1718"/>
          <w:sz w:val="36"/>
          <w:szCs w:val="36"/>
        </w:rPr>
        <w:t xml:space="preserve"> property.</w:t>
      </w:r>
    </w:p>
    <w:p w14:paraId="6B975D0C" w14:textId="1D39E813" w:rsidR="00E318AC" w:rsidRPr="00E318AC" w:rsidRDefault="00E318AC" w:rsidP="00E318AC">
      <w:r>
        <w:rPr>
          <w:rFonts w:ascii="NotoSans" w:hAnsi="NotoSans" w:cs="NotoSans"/>
          <w:color w:val="1A1718"/>
          <w:sz w:val="36"/>
          <w:szCs w:val="36"/>
        </w:rPr>
        <w:t>Withhold Clients Security Deposit.</w:t>
      </w:r>
    </w:p>
    <w:sectPr w:rsidR="00E318AC" w:rsidRPr="00E318AC" w:rsidSect="0049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reatVibes-Regular">
    <w:altName w:val="Calibri"/>
    <w:panose1 w:val="020B0604020202020204"/>
    <w:charset w:val="00"/>
    <w:family w:val="auto"/>
    <w:pitch w:val="default"/>
    <w:sig w:usb0="00000003" w:usb1="00000000" w:usb2="00000000" w:usb3="00000000" w:csb0="00000001" w:csb1="00000000"/>
  </w:font>
  <w:font w:name="NotoSans-Bold">
    <w:altName w:val="Calibri"/>
    <w:panose1 w:val="020B0604020202020204"/>
    <w:charset w:val="00"/>
    <w:family w:val="auto"/>
    <w:pitch w:val="default"/>
    <w:sig w:usb0="00000003" w:usb1="00000000" w:usb2="00000000" w:usb3="00000000" w:csb0="00000001" w:csb1="00000000"/>
  </w:font>
  <w:font w:name="NotoSans">
    <w:altName w:val="Calibri"/>
    <w:panose1 w:val="020B0604020202020204"/>
    <w:charset w:val="00"/>
    <w:family w:val="auto"/>
    <w:pitch w:val="default"/>
    <w:sig w:usb0="00000003" w:usb1="00000000" w:usb2="00000000" w:usb3="00000000" w:csb0="00000001" w:csb1="00000000"/>
  </w:font>
  <w:font w:name="NotoSans-Italic">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9F22FA"/>
    <w:multiLevelType w:val="multilevel"/>
    <w:tmpl w:val="F72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1322F"/>
    <w:multiLevelType w:val="multilevel"/>
    <w:tmpl w:val="D5F6D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B49EA"/>
    <w:multiLevelType w:val="multilevel"/>
    <w:tmpl w:val="AE1E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C"/>
    <w:rsid w:val="00492403"/>
    <w:rsid w:val="0097414B"/>
    <w:rsid w:val="00B1567E"/>
    <w:rsid w:val="00E318AC"/>
    <w:rsid w:val="00E64B05"/>
    <w:rsid w:val="00EA254A"/>
    <w:rsid w:val="00F2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66F19"/>
  <w15:chartTrackingRefBased/>
  <w15:docId w15:val="{7B9DEA9E-3711-9D46-839A-7E90460F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2730">
      <w:bodyDiv w:val="1"/>
      <w:marLeft w:val="0"/>
      <w:marRight w:val="0"/>
      <w:marTop w:val="0"/>
      <w:marBottom w:val="0"/>
      <w:divBdr>
        <w:top w:val="none" w:sz="0" w:space="0" w:color="auto"/>
        <w:left w:val="none" w:sz="0" w:space="0" w:color="auto"/>
        <w:bottom w:val="none" w:sz="0" w:space="0" w:color="auto"/>
        <w:right w:val="none" w:sz="0" w:space="0" w:color="auto"/>
      </w:divBdr>
      <w:divsChild>
        <w:div w:id="1581671037">
          <w:marLeft w:val="0"/>
          <w:marRight w:val="0"/>
          <w:marTop w:val="0"/>
          <w:marBottom w:val="0"/>
          <w:divBdr>
            <w:top w:val="single" w:sz="2" w:space="0" w:color="333333"/>
            <w:left w:val="single" w:sz="2" w:space="0" w:color="333333"/>
            <w:bottom w:val="single" w:sz="2" w:space="0" w:color="333333"/>
            <w:right w:val="single" w:sz="2" w:space="0" w:color="333333"/>
          </w:divBdr>
          <w:divsChild>
            <w:div w:id="419569255">
              <w:marLeft w:val="0"/>
              <w:marRight w:val="0"/>
              <w:marTop w:val="0"/>
              <w:marBottom w:val="0"/>
              <w:divBdr>
                <w:top w:val="single" w:sz="2" w:space="0" w:color="333333"/>
                <w:left w:val="single" w:sz="2" w:space="0" w:color="333333"/>
                <w:bottom w:val="single" w:sz="2" w:space="0" w:color="333333"/>
                <w:right w:val="single" w:sz="2" w:space="0" w:color="333333"/>
              </w:divBdr>
              <w:divsChild>
                <w:div w:id="2000882953">
                  <w:marLeft w:val="0"/>
                  <w:marRight w:val="0"/>
                  <w:marTop w:val="0"/>
                  <w:marBottom w:val="0"/>
                  <w:divBdr>
                    <w:top w:val="single" w:sz="2" w:space="0" w:color="333333"/>
                    <w:left w:val="single" w:sz="2" w:space="15" w:color="333333"/>
                    <w:bottom w:val="single" w:sz="2" w:space="0" w:color="333333"/>
                    <w:right w:val="single" w:sz="2" w:space="15" w:color="333333"/>
                  </w:divBdr>
                  <w:divsChild>
                    <w:div w:id="442653335">
                      <w:marLeft w:val="0"/>
                      <w:marRight w:val="0"/>
                      <w:marTop w:val="0"/>
                      <w:marBottom w:val="0"/>
                      <w:divBdr>
                        <w:top w:val="single" w:sz="2" w:space="0" w:color="333333"/>
                        <w:left w:val="single" w:sz="2" w:space="0" w:color="333333"/>
                        <w:bottom w:val="single" w:sz="2" w:space="0" w:color="333333"/>
                        <w:right w:val="single" w:sz="2" w:space="0" w:color="333333"/>
                      </w:divBdr>
                      <w:divsChild>
                        <w:div w:id="497959019">
                          <w:marLeft w:val="0"/>
                          <w:marRight w:val="0"/>
                          <w:marTop w:val="0"/>
                          <w:marBottom w:val="0"/>
                          <w:divBdr>
                            <w:top w:val="single" w:sz="2" w:space="0" w:color="333333"/>
                            <w:left w:val="single" w:sz="2" w:space="0" w:color="333333"/>
                            <w:bottom w:val="single" w:sz="2" w:space="0" w:color="333333"/>
                            <w:right w:val="single" w:sz="2" w:space="0" w:color="333333"/>
                          </w:divBdr>
                        </w:div>
                        <w:div w:id="1505394219">
                          <w:marLeft w:val="0"/>
                          <w:marRight w:val="0"/>
                          <w:marTop w:val="0"/>
                          <w:marBottom w:val="0"/>
                          <w:divBdr>
                            <w:top w:val="single" w:sz="2" w:space="0" w:color="333333"/>
                            <w:left w:val="single" w:sz="2" w:space="0" w:color="333333"/>
                            <w:bottom w:val="single" w:sz="2" w:space="0" w:color="333333"/>
                            <w:right w:val="single" w:sz="2" w:space="0" w:color="333333"/>
                          </w:divBdr>
                        </w:div>
                        <w:div w:id="1622766432">
                          <w:marLeft w:val="0"/>
                          <w:marRight w:val="0"/>
                          <w:marTop w:val="0"/>
                          <w:marBottom w:val="0"/>
                          <w:divBdr>
                            <w:top w:val="single" w:sz="2" w:space="0" w:color="333333"/>
                            <w:left w:val="single" w:sz="2" w:space="0" w:color="333333"/>
                            <w:bottom w:val="single" w:sz="2" w:space="0" w:color="333333"/>
                            <w:right w:val="single" w:sz="2" w:space="0" w:color="333333"/>
                          </w:divBdr>
                        </w:div>
                        <w:div w:id="1232500298">
                          <w:marLeft w:val="0"/>
                          <w:marRight w:val="0"/>
                          <w:marTop w:val="0"/>
                          <w:marBottom w:val="0"/>
                          <w:divBdr>
                            <w:top w:val="single" w:sz="2" w:space="0" w:color="333333"/>
                            <w:left w:val="single" w:sz="2" w:space="0" w:color="333333"/>
                            <w:bottom w:val="single" w:sz="2" w:space="0" w:color="333333"/>
                            <w:right w:val="single" w:sz="2" w:space="0" w:color="333333"/>
                          </w:divBdr>
                        </w:div>
                        <w:div w:id="805242320">
                          <w:marLeft w:val="0"/>
                          <w:marRight w:val="0"/>
                          <w:marTop w:val="0"/>
                          <w:marBottom w:val="0"/>
                          <w:divBdr>
                            <w:top w:val="single" w:sz="2" w:space="0" w:color="333333"/>
                            <w:left w:val="single" w:sz="2" w:space="0" w:color="333333"/>
                            <w:bottom w:val="single" w:sz="2" w:space="0" w:color="333333"/>
                            <w:right w:val="single" w:sz="2" w:space="0" w:color="333333"/>
                          </w:divBdr>
                        </w:div>
                        <w:div w:id="253637993">
                          <w:marLeft w:val="0"/>
                          <w:marRight w:val="0"/>
                          <w:marTop w:val="0"/>
                          <w:marBottom w:val="0"/>
                          <w:divBdr>
                            <w:top w:val="single" w:sz="2" w:space="0" w:color="333333"/>
                            <w:left w:val="single" w:sz="2" w:space="0" w:color="333333"/>
                            <w:bottom w:val="single" w:sz="2" w:space="0" w:color="333333"/>
                            <w:right w:val="single" w:sz="2" w:space="0" w:color="333333"/>
                          </w:divBdr>
                        </w:div>
                        <w:div w:id="378407413">
                          <w:marLeft w:val="0"/>
                          <w:marRight w:val="0"/>
                          <w:marTop w:val="0"/>
                          <w:marBottom w:val="0"/>
                          <w:divBdr>
                            <w:top w:val="single" w:sz="2" w:space="0" w:color="333333"/>
                            <w:left w:val="single" w:sz="2" w:space="0" w:color="333333"/>
                            <w:bottom w:val="single" w:sz="2" w:space="0" w:color="333333"/>
                            <w:right w:val="single" w:sz="2" w:space="0" w:color="333333"/>
                          </w:divBdr>
                        </w:div>
                        <w:div w:id="95179226">
                          <w:marLeft w:val="0"/>
                          <w:marRight w:val="0"/>
                          <w:marTop w:val="0"/>
                          <w:marBottom w:val="0"/>
                          <w:divBdr>
                            <w:top w:val="single" w:sz="2" w:space="0" w:color="333333"/>
                            <w:left w:val="single" w:sz="2" w:space="0" w:color="333333"/>
                            <w:bottom w:val="single" w:sz="2" w:space="0" w:color="333333"/>
                            <w:right w:val="single" w:sz="2" w:space="0" w:color="333333"/>
                          </w:divBdr>
                        </w:div>
                        <w:div w:id="1186675793">
                          <w:marLeft w:val="0"/>
                          <w:marRight w:val="0"/>
                          <w:marTop w:val="0"/>
                          <w:marBottom w:val="0"/>
                          <w:divBdr>
                            <w:top w:val="single" w:sz="2" w:space="0" w:color="333333"/>
                            <w:left w:val="single" w:sz="2" w:space="0" w:color="333333"/>
                            <w:bottom w:val="single" w:sz="2" w:space="0" w:color="333333"/>
                            <w:right w:val="single" w:sz="2" w:space="0" w:color="333333"/>
                          </w:divBdr>
                        </w:div>
                        <w:div w:id="2119639949">
                          <w:marLeft w:val="0"/>
                          <w:marRight w:val="0"/>
                          <w:marTop w:val="0"/>
                          <w:marBottom w:val="0"/>
                          <w:divBdr>
                            <w:top w:val="single" w:sz="2" w:space="0" w:color="333333"/>
                            <w:left w:val="single" w:sz="2" w:space="0" w:color="333333"/>
                            <w:bottom w:val="single" w:sz="2" w:space="0" w:color="333333"/>
                            <w:right w:val="single" w:sz="2" w:space="0" w:color="333333"/>
                          </w:divBdr>
                        </w:div>
                        <w:div w:id="1834561804">
                          <w:marLeft w:val="0"/>
                          <w:marRight w:val="0"/>
                          <w:marTop w:val="0"/>
                          <w:marBottom w:val="0"/>
                          <w:divBdr>
                            <w:top w:val="single" w:sz="2" w:space="0" w:color="333333"/>
                            <w:left w:val="single" w:sz="2" w:space="0" w:color="333333"/>
                            <w:bottom w:val="single" w:sz="2" w:space="0" w:color="333333"/>
                            <w:right w:val="single" w:sz="2" w:space="0" w:color="333333"/>
                          </w:divBdr>
                        </w:div>
                        <w:div w:id="852381778">
                          <w:marLeft w:val="0"/>
                          <w:marRight w:val="0"/>
                          <w:marTop w:val="0"/>
                          <w:marBottom w:val="0"/>
                          <w:divBdr>
                            <w:top w:val="single" w:sz="2" w:space="0" w:color="333333"/>
                            <w:left w:val="single" w:sz="2" w:space="0" w:color="333333"/>
                            <w:bottom w:val="single" w:sz="2" w:space="0" w:color="333333"/>
                            <w:right w:val="single" w:sz="2" w:space="0" w:color="333333"/>
                          </w:divBdr>
                        </w:div>
                        <w:div w:id="133107978">
                          <w:marLeft w:val="0"/>
                          <w:marRight w:val="0"/>
                          <w:marTop w:val="0"/>
                          <w:marBottom w:val="0"/>
                          <w:divBdr>
                            <w:top w:val="single" w:sz="2" w:space="0" w:color="333333"/>
                            <w:left w:val="single" w:sz="2" w:space="0" w:color="333333"/>
                            <w:bottom w:val="single" w:sz="2" w:space="0" w:color="333333"/>
                            <w:right w:val="single" w:sz="2" w:space="0" w:color="333333"/>
                          </w:divBdr>
                        </w:div>
                        <w:div w:id="1215889723">
                          <w:marLeft w:val="0"/>
                          <w:marRight w:val="0"/>
                          <w:marTop w:val="0"/>
                          <w:marBottom w:val="0"/>
                          <w:divBdr>
                            <w:top w:val="single" w:sz="2" w:space="0" w:color="333333"/>
                            <w:left w:val="single" w:sz="2" w:space="0" w:color="333333"/>
                            <w:bottom w:val="single" w:sz="2" w:space="0" w:color="333333"/>
                            <w:right w:val="single" w:sz="2" w:space="0" w:color="333333"/>
                          </w:divBdr>
                        </w:div>
                        <w:div w:id="14216202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 w:id="1471091803">
          <w:marLeft w:val="0"/>
          <w:marRight w:val="0"/>
          <w:marTop w:val="0"/>
          <w:marBottom w:val="0"/>
          <w:divBdr>
            <w:top w:val="single" w:sz="2" w:space="0" w:color="333333"/>
            <w:left w:val="single" w:sz="2" w:space="0" w:color="333333"/>
            <w:bottom w:val="single" w:sz="2" w:space="31" w:color="333333"/>
            <w:right w:val="single" w:sz="2" w:space="0" w:color="333333"/>
          </w:divBdr>
          <w:divsChild>
            <w:div w:id="1467352640">
              <w:marLeft w:val="0"/>
              <w:marRight w:val="0"/>
              <w:marTop w:val="0"/>
              <w:marBottom w:val="0"/>
              <w:divBdr>
                <w:top w:val="single" w:sz="2" w:space="0" w:color="333333"/>
                <w:left w:val="single" w:sz="2" w:space="0" w:color="333333"/>
                <w:bottom w:val="single" w:sz="2" w:space="0" w:color="333333"/>
                <w:right w:val="single" w:sz="2" w:space="0" w:color="333333"/>
              </w:divBdr>
              <w:divsChild>
                <w:div w:id="454829187">
                  <w:marLeft w:val="0"/>
                  <w:marRight w:val="0"/>
                  <w:marTop w:val="0"/>
                  <w:marBottom w:val="0"/>
                  <w:divBdr>
                    <w:top w:val="single" w:sz="2" w:space="0" w:color="333333"/>
                    <w:left w:val="single" w:sz="2" w:space="15" w:color="333333"/>
                    <w:bottom w:val="single" w:sz="2" w:space="0" w:color="333333"/>
                    <w:right w:val="single" w:sz="2" w:space="15" w:color="333333"/>
                  </w:divBdr>
                  <w:divsChild>
                    <w:div w:id="2000497401">
                      <w:marLeft w:val="0"/>
                      <w:marRight w:val="0"/>
                      <w:marTop w:val="0"/>
                      <w:marBottom w:val="0"/>
                      <w:divBdr>
                        <w:top w:val="single" w:sz="2" w:space="0" w:color="333333"/>
                        <w:left w:val="single" w:sz="2" w:space="0" w:color="333333"/>
                        <w:bottom w:val="single" w:sz="2" w:space="0" w:color="333333"/>
                        <w:right w:val="single" w:sz="2" w:space="0" w:color="333333"/>
                      </w:divBdr>
                      <w:divsChild>
                        <w:div w:id="1518081228">
                          <w:marLeft w:val="0"/>
                          <w:marRight w:val="0"/>
                          <w:marTop w:val="0"/>
                          <w:marBottom w:val="0"/>
                          <w:divBdr>
                            <w:top w:val="single" w:sz="2" w:space="0" w:color="333333"/>
                            <w:left w:val="single" w:sz="2" w:space="0" w:color="333333"/>
                            <w:bottom w:val="single" w:sz="2" w:space="0" w:color="333333"/>
                            <w:right w:val="single" w:sz="2" w:space="0" w:color="333333"/>
                          </w:divBdr>
                          <w:divsChild>
                            <w:div w:id="27877846">
                              <w:marLeft w:val="0"/>
                              <w:marRight w:val="0"/>
                              <w:marTop w:val="0"/>
                              <w:marBottom w:val="0"/>
                              <w:divBdr>
                                <w:top w:val="single" w:sz="2" w:space="0" w:color="333333"/>
                                <w:left w:val="single" w:sz="2" w:space="0" w:color="333333"/>
                                <w:bottom w:val="single" w:sz="2" w:space="0" w:color="333333"/>
                                <w:right w:val="single" w:sz="2" w:space="0" w:color="333333"/>
                              </w:divBdr>
                              <w:divsChild>
                                <w:div w:id="774255206">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83475572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Leavell</dc:creator>
  <cp:keywords/>
  <dc:description/>
  <cp:lastModifiedBy>Microsoft Office User</cp:lastModifiedBy>
  <cp:revision>2</cp:revision>
  <dcterms:created xsi:type="dcterms:W3CDTF">2022-01-12T19:05:00Z</dcterms:created>
  <dcterms:modified xsi:type="dcterms:W3CDTF">2022-01-12T19:05:00Z</dcterms:modified>
</cp:coreProperties>
</file>